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EC" w:rsidRDefault="00687AEC" w:rsidP="007F345A"/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6201BB" w:rsidP="007F1936">
            <w:pPr>
              <w:rPr>
                <w:b/>
                <w:sz w:val="24"/>
                <w:szCs w:val="24"/>
              </w:rPr>
            </w:pPr>
            <w:r>
              <w:rPr>
                <w:rStyle w:val="Enfasigrassetto"/>
              </w:rPr>
              <w:t>FONDAZIONE PIRELLI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Pr="00BE5ED9" w:rsidRDefault="007A3EFB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</w:p>
        </w:tc>
        <w:tc>
          <w:tcPr>
            <w:tcW w:w="11198" w:type="dxa"/>
          </w:tcPr>
          <w:p w:rsidR="006201BB" w:rsidRPr="00BE5ED9" w:rsidRDefault="006201BB" w:rsidP="00FD6ABC">
            <w:pPr>
              <w:pStyle w:val="NormaleWeb"/>
              <w:shd w:val="clear" w:color="auto" w:fill="FFFFFF"/>
              <w:rPr>
                <w:rFonts w:asciiTheme="minorHAnsi" w:hAnsiTheme="minorHAnsi" w:cs="Helvetica"/>
                <w:color w:val="000000"/>
                <w:shd w:val="clear" w:color="auto" w:fill="FFFFFF"/>
              </w:rPr>
            </w:pPr>
            <w:r w:rsidRPr="00BE5ED9">
              <w:rPr>
                <w:rFonts w:asciiTheme="minorHAnsi" w:hAnsiTheme="minorHAnsi" w:cs="Helvetica"/>
                <w:color w:val="000000"/>
                <w:shd w:val="clear" w:color="auto" w:fill="FFFFFF"/>
              </w:rPr>
              <w:t>La Fondazione Pirelli nasce nel 2</w:t>
            </w:r>
            <w:r w:rsidR="00CB07CB">
              <w:rPr>
                <w:rFonts w:asciiTheme="minorHAnsi" w:hAnsiTheme="minorHAnsi" w:cs="Helvetica"/>
                <w:color w:val="000000"/>
                <w:shd w:val="clear" w:color="auto" w:fill="FFFFFF"/>
              </w:rPr>
              <w:t>008</w:t>
            </w:r>
            <w:r w:rsidRPr="00BE5ED9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 </w:t>
            </w:r>
            <w:r w:rsidR="006D15D9" w:rsidRPr="00BE5ED9">
              <w:rPr>
                <w:rFonts w:asciiTheme="minorHAnsi" w:hAnsiTheme="minorHAnsi" w:cs="Helvetica"/>
                <w:color w:val="000000"/>
                <w:shd w:val="clear" w:color="auto" w:fill="FFFFFF"/>
              </w:rPr>
              <w:t>per volontà del Gruppo e della famiglia Pirelli con l’obiettivo di salvaguardare e diffondere la conoscenza del patrimonio culturale, storic</w:t>
            </w:r>
            <w:r w:rsidR="00686559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o e contemporaneo dell’azienda </w:t>
            </w:r>
            <w:r w:rsidR="006D15D9" w:rsidRPr="00BE5ED9">
              <w:rPr>
                <w:rFonts w:asciiTheme="minorHAnsi" w:hAnsiTheme="minorHAnsi" w:cs="Helvetica"/>
                <w:color w:val="000000"/>
                <w:shd w:val="clear" w:color="auto" w:fill="FFFFFF"/>
              </w:rPr>
              <w:t>sia attraver</w:t>
            </w:r>
            <w:r w:rsidR="00CB07CB">
              <w:rPr>
                <w:rFonts w:asciiTheme="minorHAnsi" w:hAnsiTheme="minorHAnsi" w:cs="Helvetica"/>
                <w:color w:val="000000"/>
                <w:shd w:val="clear" w:color="auto" w:fill="FFFFFF"/>
              </w:rPr>
              <w:t>so progetti per</w:t>
            </w:r>
            <w:r w:rsidR="006D15D9" w:rsidRPr="00BE5ED9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 promuovere la cultura d’impresa di Pirelli, sia attraverso la valorizzazione dei documenti dell’Archivio Storico aziendale. La Fondazione conserva infatti la documentazione sulla storia dell’impresa dalla sua fondazione, nel 1872, a oggi: oltre 3.500 metri lineari di documenti, fotografie, bozzetti, audiovisivi. L’ampia sezione dedicata alla pubblicità e alla comunicazione testi</w:t>
            </w:r>
            <w:r w:rsidR="00686559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monia la feconda collaborazione </w:t>
            </w:r>
            <w:r w:rsidR="006D15D9" w:rsidRPr="00BE5ED9">
              <w:rPr>
                <w:rFonts w:asciiTheme="minorHAnsi" w:hAnsiTheme="minorHAnsi" w:cs="Helvetica"/>
                <w:color w:val="000000"/>
                <w:shd w:val="clear" w:color="auto" w:fill="FFFFFF"/>
              </w:rPr>
              <w:t>di Pirelli con intellettuali, artisti, fotografi: centinaia di bozzetti pubblicitari, migliaia di fotografie, pellicole dirette da pionieri del cinema.</w:t>
            </w:r>
            <w:r w:rsidR="00686559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 Ogni anno la Fondazione Pirelli porta avanti</w:t>
            </w:r>
            <w:r w:rsidR="006D15D9" w:rsidRPr="00BE5ED9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 </w:t>
            </w:r>
            <w:r w:rsidR="00304AE1">
              <w:rPr>
                <w:rFonts w:asciiTheme="minorHAnsi" w:hAnsiTheme="minorHAnsi" w:cs="Helvetica"/>
                <w:color w:val="000000"/>
                <w:shd w:val="clear" w:color="auto" w:fill="FFFFFF"/>
              </w:rPr>
              <w:t>molt</w:t>
            </w:r>
            <w:r w:rsidR="00BE5ED9">
              <w:rPr>
                <w:rFonts w:asciiTheme="minorHAnsi" w:hAnsiTheme="minorHAnsi" w:cs="Helvetica"/>
                <w:color w:val="000000"/>
                <w:shd w:val="clear" w:color="auto" w:fill="FFFFFF"/>
              </w:rPr>
              <w:t>e</w:t>
            </w:r>
            <w:r w:rsidR="00686559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 attività di valorizzazione del patrimonio aziendale, come</w:t>
            </w:r>
            <w:r w:rsidR="00FD6ABC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 la curatela di </w:t>
            </w:r>
            <w:r w:rsidR="00686559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pubblicazioni, </w:t>
            </w:r>
            <w:r w:rsidR="00FD6ABC" w:rsidRPr="00FD6ABC">
              <w:rPr>
                <w:rFonts w:asciiTheme="minorHAnsi" w:hAnsiTheme="minorHAnsi" w:cs="Helvetica"/>
                <w:color w:val="000000"/>
                <w:shd w:val="clear" w:color="auto" w:fill="FFFFFF"/>
              </w:rPr>
              <w:t>mostre e percorsi allestitivi</w:t>
            </w:r>
            <w:r w:rsidR="00FD6ABC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, concerti e spettacoli teatrali oltre a convegni e a visite guidate nei propri spazi che coinvolgono ogni anno migliaia di persone. 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Pr="00BE5ED9" w:rsidRDefault="007F1936" w:rsidP="0041463D">
            <w:pPr>
              <w:rPr>
                <w:b/>
                <w:sz w:val="24"/>
                <w:szCs w:val="24"/>
              </w:rPr>
            </w:pPr>
            <w:r w:rsidRPr="00BE5ED9"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BE5ED9" w:rsidRDefault="00461A78" w:rsidP="0041463D">
            <w:pPr>
              <w:rPr>
                <w:sz w:val="24"/>
                <w:szCs w:val="24"/>
              </w:rPr>
            </w:pPr>
            <w:r w:rsidRPr="00BE5ED9">
              <w:rPr>
                <w:sz w:val="24"/>
                <w:szCs w:val="24"/>
              </w:rPr>
              <w:t>Fondazione Pirelli – Viale Sarca 222</w:t>
            </w:r>
            <w:r w:rsidR="007F1936" w:rsidRPr="00BE5ED9">
              <w:rPr>
                <w:sz w:val="24"/>
                <w:szCs w:val="24"/>
              </w:rPr>
              <w:t>, Milano</w:t>
            </w:r>
          </w:p>
        </w:tc>
      </w:tr>
      <w:tr w:rsidR="00687AEC" w:rsidTr="00687AEC">
        <w:trPr>
          <w:trHeight w:val="101"/>
        </w:trPr>
        <w:tc>
          <w:tcPr>
            <w:tcW w:w="3369" w:type="dxa"/>
          </w:tcPr>
          <w:p w:rsidR="007F1936" w:rsidRPr="00BE5ED9" w:rsidRDefault="00687AEC" w:rsidP="007F1936">
            <w:pPr>
              <w:rPr>
                <w:b/>
                <w:sz w:val="24"/>
                <w:szCs w:val="24"/>
              </w:rPr>
            </w:pPr>
            <w:r w:rsidRPr="00BE5ED9">
              <w:rPr>
                <w:b/>
                <w:sz w:val="24"/>
                <w:szCs w:val="24"/>
              </w:rPr>
              <w:t xml:space="preserve">Descrizione </w:t>
            </w:r>
            <w:r w:rsidR="007F1936" w:rsidRPr="00BE5ED9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BE5ED9" w:rsidRDefault="003B6080" w:rsidP="007F345A">
            <w:pPr>
              <w:rPr>
                <w:b/>
                <w:sz w:val="24"/>
                <w:szCs w:val="24"/>
              </w:rPr>
            </w:pPr>
            <w:r w:rsidRPr="00BE5ED9">
              <w:rPr>
                <w:b/>
                <w:sz w:val="24"/>
                <w:szCs w:val="24"/>
              </w:rPr>
              <w:t>(max 20 righe)</w:t>
            </w:r>
          </w:p>
        </w:tc>
        <w:tc>
          <w:tcPr>
            <w:tcW w:w="11198" w:type="dxa"/>
          </w:tcPr>
          <w:p w:rsidR="00413D98" w:rsidRDefault="002212AD" w:rsidP="00C10535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Gli ospiti</w:t>
            </w:r>
            <w:r w:rsidR="006C04B0" w:rsidRPr="00BE5ED9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="00A918AB" w:rsidRPr="00BE5ED9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avranno la possibilità di </w:t>
            </w:r>
            <w:r w:rsidR="006C04B0" w:rsidRPr="00BE5ED9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visionare un’ampia selezione di documenti provenienti dal fondo 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fotografico Pirelli </w:t>
            </w:r>
            <w:r w:rsidR="006C04B0" w:rsidRPr="00BE5ED9">
              <w:rPr>
                <w:rFonts w:eastAsia="Times New Roman" w:cs="Times New Roman"/>
                <w:sz w:val="24"/>
                <w:szCs w:val="24"/>
                <w:lang w:eastAsia="it-IT"/>
              </w:rPr>
              <w:t>costituito da oltre 700</w:t>
            </w:r>
            <w:r w:rsidR="00FD6ABC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.000 </w:t>
            </w:r>
            <w:r w:rsidR="006C04B0" w:rsidRPr="00BE5ED9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fotografie che </w:t>
            </w:r>
            <w:r w:rsidR="00FD6ABC">
              <w:rPr>
                <w:rFonts w:eastAsia="Times New Roman" w:cs="Times New Roman"/>
                <w:sz w:val="24"/>
                <w:szCs w:val="24"/>
                <w:lang w:eastAsia="it-IT"/>
              </w:rPr>
              <w:t>ritraggono</w:t>
            </w:r>
            <w:r w:rsidR="00A918AB" w:rsidRPr="00BE5ED9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C04B0" w:rsidRPr="00BE5ED9">
              <w:rPr>
                <w:rFonts w:eastAsia="Times New Roman" w:cs="Times New Roman"/>
                <w:sz w:val="24"/>
                <w:szCs w:val="24"/>
                <w:lang w:eastAsia="it-IT"/>
              </w:rPr>
              <w:t>prodotti, stabilimenti, fiere e esposizioni, gare automobilistiche, motociclistiche e ciclistiche, servizi di moda.</w:t>
            </w:r>
            <w:r w:rsidR="004857F3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="009272D9" w:rsidRPr="009272D9">
              <w:rPr>
                <w:rFonts w:eastAsia="Times New Roman" w:cs="Times New Roman"/>
                <w:sz w:val="24"/>
                <w:szCs w:val="24"/>
                <w:lang w:eastAsia="it-IT"/>
              </w:rPr>
              <w:t>Un focus della visita sarà dedicato alla sezione fotografica del magazine “Pirelli. Rivista d’informazione e di te</w:t>
            </w:r>
            <w:r w:rsidR="007A3EFB">
              <w:rPr>
                <w:rFonts w:eastAsia="Times New Roman" w:cs="Times New Roman"/>
                <w:sz w:val="24"/>
                <w:szCs w:val="24"/>
                <w:lang w:eastAsia="it-IT"/>
              </w:rPr>
              <w:t>c</w:t>
            </w:r>
            <w:r w:rsidR="009272D9" w:rsidRPr="009272D9">
              <w:rPr>
                <w:rFonts w:eastAsia="Times New Roman" w:cs="Times New Roman"/>
                <w:sz w:val="24"/>
                <w:szCs w:val="24"/>
                <w:lang w:eastAsia="it-IT"/>
              </w:rPr>
              <w:t>nica”, la storica rivista aziendale pubblicata dal 1948 al</w:t>
            </w:r>
            <w:r w:rsidR="005B5875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1972, esempio di</w:t>
            </w:r>
            <w:bookmarkStart w:id="0" w:name="_GoBack"/>
            <w:bookmarkEnd w:id="0"/>
            <w:r w:rsidR="009272D9" w:rsidRPr="009272D9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integrazione fra sapere tecnico-scientifico e cultura umanistica. Più di 5000 scatti editi e inediti dei più importanti fotografi italiani e internazionali: dagli incontri di Ugo Mulas con i grandi protagonisti dell’arte contemporanea alla documentazione della costruzione della metropolitana milanese firmata Arno Hammacher. E ancora i grandi reportage di Fulvio Roiter ed Enzo Sellerio e altre grandi firme come Lanfranco Colombo, Gianfranco Moroldo, Federico Patellani e Mario De Biasi.</w:t>
            </w:r>
          </w:p>
          <w:p w:rsidR="006D15D9" w:rsidRPr="00BE5ED9" w:rsidRDefault="00413D98" w:rsidP="00824B02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La </w:t>
            </w:r>
            <w:r w:rsidR="00CC3DED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visita proseguirà con il tour guidato alla mostra “La pubblicità con la P maiuscola” realizzata </w:t>
            </w:r>
            <w:r w:rsidR="00CC3DED" w:rsidRPr="00CC3DED">
              <w:rPr>
                <w:rFonts w:eastAsia="Times New Roman" w:cs="Times New Roman"/>
                <w:sz w:val="24"/>
                <w:szCs w:val="24"/>
                <w:lang w:eastAsia="it-IT"/>
              </w:rPr>
              <w:t>in occasione del decimo anniversario d</w:t>
            </w:r>
            <w:r w:rsidR="00CC3DED">
              <w:rPr>
                <w:rFonts w:eastAsia="Times New Roman" w:cs="Times New Roman"/>
                <w:sz w:val="24"/>
                <w:szCs w:val="24"/>
                <w:lang w:eastAsia="it-IT"/>
              </w:rPr>
              <w:t>ella Fondazione Pirelli, e dedicata</w:t>
            </w:r>
            <w:r w:rsidR="00CC3DED" w:rsidRPr="00CC3DED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attraverso materiali originali e installazioni multimediali</w:t>
            </w:r>
            <w:r w:rsidR="00CC3DED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al ricco patrimonio </w:t>
            </w:r>
            <w:r w:rsidR="00CC3DED" w:rsidRPr="00CC3DED">
              <w:rPr>
                <w:rFonts w:eastAsia="Times New Roman" w:cs="Times New Roman"/>
                <w:sz w:val="24"/>
                <w:szCs w:val="24"/>
                <w:lang w:eastAsia="it-IT"/>
              </w:rPr>
              <w:t>audiovisivo dell’Archivio Storico, con un focus sulle campagne pubblicitarie di Pirelli dagli anni Settanta ai primi anni Duemila.</w:t>
            </w:r>
            <w:r w:rsidR="00824B02" w:rsidRPr="00BE5ED9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687AEC" w:rsidRPr="00F30967" w:rsidRDefault="00BE1B09" w:rsidP="007F3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 20</w:t>
            </w:r>
            <w:r w:rsidR="00C10535">
              <w:rPr>
                <w:sz w:val="24"/>
                <w:szCs w:val="24"/>
              </w:rPr>
              <w:t xml:space="preserve"> ottobre </w:t>
            </w:r>
            <w:r>
              <w:rPr>
                <w:sz w:val="24"/>
                <w:szCs w:val="24"/>
              </w:rPr>
              <w:t>2018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687AEC" w:rsidRPr="00F30967" w:rsidRDefault="00546BAD" w:rsidP="00BE1B09">
            <w:pPr>
              <w:rPr>
                <w:sz w:val="24"/>
                <w:szCs w:val="24"/>
              </w:rPr>
            </w:pPr>
            <w:r w:rsidRPr="00F30967">
              <w:rPr>
                <w:sz w:val="24"/>
                <w:szCs w:val="24"/>
              </w:rPr>
              <w:t xml:space="preserve">Visita </w:t>
            </w:r>
            <w:r w:rsidR="00A918AB">
              <w:rPr>
                <w:sz w:val="24"/>
                <w:szCs w:val="24"/>
              </w:rPr>
              <w:t xml:space="preserve">di 1 ora e 30 circa su due turni: </w:t>
            </w:r>
            <w:r w:rsidR="00CC3DED">
              <w:rPr>
                <w:rFonts w:eastAsia="Times New Roman" w:cs="Times New Roman"/>
                <w:sz w:val="24"/>
                <w:szCs w:val="24"/>
                <w:lang w:eastAsia="it-IT"/>
              </w:rPr>
              <w:t>ore 15.00 e ore 17.00</w:t>
            </w:r>
            <w:r w:rsidR="00BE1B09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F30967" w:rsidRDefault="00BE1B09" w:rsidP="008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F30967" w:rsidRPr="00F30967">
              <w:rPr>
                <w:sz w:val="24"/>
                <w:szCs w:val="24"/>
              </w:rPr>
              <w:t>ax.</w:t>
            </w:r>
            <w:r w:rsidR="00907C3F">
              <w:rPr>
                <w:sz w:val="24"/>
                <w:szCs w:val="24"/>
              </w:rPr>
              <w:t xml:space="preserve"> 40</w:t>
            </w:r>
            <w:r>
              <w:rPr>
                <w:sz w:val="24"/>
                <w:szCs w:val="24"/>
              </w:rPr>
              <w:t xml:space="preserve"> </w:t>
            </w:r>
            <w:r w:rsidR="00546BAD" w:rsidRPr="00F30967">
              <w:rPr>
                <w:sz w:val="24"/>
                <w:szCs w:val="24"/>
              </w:rPr>
              <w:t>persone</w:t>
            </w:r>
            <w:r>
              <w:rPr>
                <w:sz w:val="24"/>
                <w:szCs w:val="24"/>
              </w:rPr>
              <w:t xml:space="preserve"> per ogni turno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F30967" w:rsidRDefault="0028272D" w:rsidP="008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Salvatti Eleonora</w:t>
            </w:r>
            <w:r w:rsidR="002212AD">
              <w:rPr>
                <w:sz w:val="24"/>
                <w:szCs w:val="24"/>
              </w:rPr>
              <w:t xml:space="preserve">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lastRenderedPageBreak/>
              <w:t>Prenotazioni</w:t>
            </w:r>
          </w:p>
        </w:tc>
        <w:tc>
          <w:tcPr>
            <w:tcW w:w="11198" w:type="dxa"/>
          </w:tcPr>
          <w:p w:rsidR="001F116C" w:rsidRDefault="001F116C" w:rsidP="0054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mail o telefonicamente:</w:t>
            </w:r>
          </w:p>
          <w:p w:rsidR="00BE1B09" w:rsidRDefault="004062BF" w:rsidP="00546BAD">
            <w:hyperlink r:id="rId8" w:history="1">
              <w:r w:rsidR="00BE1B09" w:rsidRPr="00554440">
                <w:rPr>
                  <w:rStyle w:val="Collegamentoipertestuale"/>
                </w:rPr>
                <w:t>visite@fondazionepirelli.org</w:t>
              </w:r>
            </w:hyperlink>
            <w:r w:rsidR="00BE1B09">
              <w:t xml:space="preserve"> </w:t>
            </w:r>
          </w:p>
          <w:p w:rsidR="00687AEC" w:rsidRPr="00BE1B09" w:rsidRDefault="00BE1B09" w:rsidP="00546B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tel. 02/64423971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C10535" w:rsidP="007F19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BE1B09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687AEC" w:rsidRPr="00687AEC" w:rsidRDefault="00687AEC" w:rsidP="007F345A">
      <w:pPr>
        <w:rPr>
          <w:b/>
        </w:rPr>
      </w:pPr>
    </w:p>
    <w:sectPr w:rsidR="00687AEC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BF" w:rsidRDefault="004062BF" w:rsidP="00461A78">
      <w:pPr>
        <w:spacing w:after="0" w:line="240" w:lineRule="auto"/>
      </w:pPr>
      <w:r>
        <w:separator/>
      </w:r>
    </w:p>
  </w:endnote>
  <w:endnote w:type="continuationSeparator" w:id="0">
    <w:p w:rsidR="004062BF" w:rsidRDefault="004062BF" w:rsidP="0046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BF" w:rsidRDefault="004062BF" w:rsidP="00461A78">
      <w:pPr>
        <w:spacing w:after="0" w:line="240" w:lineRule="auto"/>
      </w:pPr>
      <w:r>
        <w:separator/>
      </w:r>
    </w:p>
  </w:footnote>
  <w:footnote w:type="continuationSeparator" w:id="0">
    <w:p w:rsidR="004062BF" w:rsidRDefault="004062BF" w:rsidP="00461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12"/>
    <w:rsid w:val="00024AC4"/>
    <w:rsid w:val="00045AEE"/>
    <w:rsid w:val="00062823"/>
    <w:rsid w:val="000A3858"/>
    <w:rsid w:val="001F116C"/>
    <w:rsid w:val="002212AD"/>
    <w:rsid w:val="0028272D"/>
    <w:rsid w:val="00304AE1"/>
    <w:rsid w:val="003517B4"/>
    <w:rsid w:val="003B155A"/>
    <w:rsid w:val="003B6080"/>
    <w:rsid w:val="004062BF"/>
    <w:rsid w:val="00413D98"/>
    <w:rsid w:val="00461A78"/>
    <w:rsid w:val="0046695D"/>
    <w:rsid w:val="004857F3"/>
    <w:rsid w:val="004B749F"/>
    <w:rsid w:val="004D0827"/>
    <w:rsid w:val="00503D60"/>
    <w:rsid w:val="00546BAD"/>
    <w:rsid w:val="005540B2"/>
    <w:rsid w:val="005B5875"/>
    <w:rsid w:val="005B70CA"/>
    <w:rsid w:val="005D6F08"/>
    <w:rsid w:val="005E2B18"/>
    <w:rsid w:val="006201BB"/>
    <w:rsid w:val="00686559"/>
    <w:rsid w:val="00687AEC"/>
    <w:rsid w:val="006C04B0"/>
    <w:rsid w:val="006D15D9"/>
    <w:rsid w:val="007175E7"/>
    <w:rsid w:val="00772D26"/>
    <w:rsid w:val="007A3EFB"/>
    <w:rsid w:val="007F1936"/>
    <w:rsid w:val="007F345A"/>
    <w:rsid w:val="00824B02"/>
    <w:rsid w:val="008253FF"/>
    <w:rsid w:val="008263B8"/>
    <w:rsid w:val="00832833"/>
    <w:rsid w:val="008729AC"/>
    <w:rsid w:val="008B0B12"/>
    <w:rsid w:val="00907C3F"/>
    <w:rsid w:val="009272D9"/>
    <w:rsid w:val="009443CC"/>
    <w:rsid w:val="009565A1"/>
    <w:rsid w:val="00960402"/>
    <w:rsid w:val="009C7D2F"/>
    <w:rsid w:val="00A265D6"/>
    <w:rsid w:val="00A918AB"/>
    <w:rsid w:val="00B0384C"/>
    <w:rsid w:val="00B070AB"/>
    <w:rsid w:val="00BE1B09"/>
    <w:rsid w:val="00BE5ED9"/>
    <w:rsid w:val="00C10535"/>
    <w:rsid w:val="00C25504"/>
    <w:rsid w:val="00C5641B"/>
    <w:rsid w:val="00CB07CB"/>
    <w:rsid w:val="00CC3DED"/>
    <w:rsid w:val="00DA5BD8"/>
    <w:rsid w:val="00EB49E5"/>
    <w:rsid w:val="00F30967"/>
    <w:rsid w:val="00F32FE8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E4D13D-10FA-4149-AF2F-FD2FE092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61A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A78"/>
  </w:style>
  <w:style w:type="paragraph" w:styleId="Pidipagina">
    <w:name w:val="footer"/>
    <w:basedOn w:val="Normale"/>
    <w:link w:val="PidipaginaCarattere"/>
    <w:uiPriority w:val="99"/>
    <w:unhideWhenUsed/>
    <w:rsid w:val="00461A7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e@fondazionepirell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8f3f70-3e4d-4335-82fb-00a785401c80" origin="userSelected">
  <element uid="1c89f765-7bc5-49ea-a1bc-4fa470ed5e85" value=""/>
</sisl>
</file>

<file path=customXml/itemProps1.xml><?xml version="1.0" encoding="utf-8"?>
<ds:datastoreItem xmlns:ds="http://schemas.openxmlformats.org/officeDocument/2006/customXml" ds:itemID="{E2B369EA-10F1-43C1-9C28-0CBA22D82F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keywords>[Public]</cp:keywords>
  <cp:lastModifiedBy>Silvia Paoli</cp:lastModifiedBy>
  <cp:revision>13</cp:revision>
  <cp:lastPrinted>2018-06-12T15:01:00Z</cp:lastPrinted>
  <dcterms:created xsi:type="dcterms:W3CDTF">2018-07-24T16:18:00Z</dcterms:created>
  <dcterms:modified xsi:type="dcterms:W3CDTF">2018-09-11T11:14:00Z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10d424fc-2c9e-4501-8cbf-6ca0ef6f473b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policy="2b8f3f70-3e4d-4335-82fb-00a785401c80" origin="userSelected" xmlns="http://www.boldonj</vt:lpwstr>
  </property>
  <property fmtid="{D5CDD505-2E9C-101B-9397-08002B2CF9AE}" pid="4" name="bjDocumentLabelXML-0">
    <vt:lpwstr>ames.com/2008/01/sie/internal/label"&gt;&lt;element uid="1c89f765-7bc5-49ea-a1bc-4fa470ed5e85" value="" /&gt;&lt;/sisl&gt;</vt:lpwstr>
  </property>
  <property fmtid="{D5CDD505-2E9C-101B-9397-08002B2CF9AE}" pid="5" name="bjDocumentSecurityLabel">
    <vt:lpwstr>Public [No repercussions to the company from disclosure] _x000d_
 </vt:lpwstr>
  </property>
  <property fmtid="{D5CDD505-2E9C-101B-9397-08002B2CF9AE}" pid="6" name="Classification">
    <vt:lpwstr>Public - Pirelli Data Classification</vt:lpwstr>
  </property>
  <property fmtid="{D5CDD505-2E9C-101B-9397-08002B2CF9AE}" pid="7" name="bjSaver">
    <vt:lpwstr>n9odoIiRkf63qkeq0iMMAIyhRJxGeZRL</vt:lpwstr>
  </property>
  <property fmtid="{D5CDD505-2E9C-101B-9397-08002B2CF9AE}" pid="8" name="_AdHocReviewCycleID">
    <vt:i4>708073351</vt:i4>
  </property>
  <property fmtid="{D5CDD505-2E9C-101B-9397-08002B2CF9AE}" pid="9" name="_NewReviewCycle">
    <vt:lpwstr/>
  </property>
  <property fmtid="{D5CDD505-2E9C-101B-9397-08002B2CF9AE}" pid="10" name="_EmailSubject">
    <vt:lpwstr>Settimana Archivi Aperti - 19 - 27 ottobre 2018</vt:lpwstr>
  </property>
  <property fmtid="{D5CDD505-2E9C-101B-9397-08002B2CF9AE}" pid="11" name="_AuthorEmail">
    <vt:lpwstr>Eleonora.Salvatti@pirelli.com</vt:lpwstr>
  </property>
  <property fmtid="{D5CDD505-2E9C-101B-9397-08002B2CF9AE}" pid="12" name="_AuthorEmailDisplayName">
    <vt:lpwstr>Salvatti Eleonora, IT</vt:lpwstr>
  </property>
  <property fmtid="{D5CDD505-2E9C-101B-9397-08002B2CF9AE}" pid="13" name="_PreviousAdHocReviewCycleID">
    <vt:i4>9175553</vt:i4>
  </property>
  <property fmtid="{D5CDD505-2E9C-101B-9397-08002B2CF9AE}" pid="14" name="_ReviewingToolsShownOnce">
    <vt:lpwstr/>
  </property>
</Properties>
</file>